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0"/>
        <w:gridCol w:w="5447"/>
        <w:gridCol w:w="2683"/>
        <w:tblGridChange w:id="0">
          <w:tblGrid>
            <w:gridCol w:w="1950"/>
            <w:gridCol w:w="5447"/>
            <w:gridCol w:w="268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85850" cy="3048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0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SPECIMEN COLLECTION GUIDE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color w:val="fce8eb"/>
                <w:sz w:val="18"/>
                <w:szCs w:val="18"/>
                <w:rtl w:val="0"/>
              </w:rPr>
              <w:t xml:space="preserve">Pre-Analytical Standards — Per-Test Reference (CLSI GP41 / GP44)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8e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Doc #: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SCG-F-001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Version: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Effective: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Review Due: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A: GENERAL COLLECTION PRINCIPLES</w:t>
      </w: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0"/>
        <w:gridCol w:w="6720"/>
        <w:tblGridChange w:id="0">
          <w:tblGrid>
            <w:gridCol w:w="3360"/>
            <w:gridCol w:w="6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Principle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Standard / Requirement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Patient Identification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Minimum two identifiers required: full name + DOB or MRN. Confirm verbally before collection.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Order Verification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Confirm test order in LIS/EHR before beginning collection. Never collect without valid order.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Order of Draw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sdt>
              <w:sdtPr>
                <w:id w:val="854101661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Blood culture → Na citrate (blue) → Serum SST (gold) → Li heparin (green) → EDTA (lavender) → Glycolytic inhibitor (gray)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Inversion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Invert all additive tubes immediately per manufacturer: SST 5×, EDTA 8–10×, citrate 3–4×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Site Selection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Avoid sites with IV lines, edema, hematoma, scarring, or lymphedema on mastectomy side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Labeling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Label tubes at the bedside/chair immediately after collection — before leaving the patient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Timing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Note exact collection date and time on requisition and tube for timed tests (cortisol, glucose tolerance, etc.)</w:t>
            </w:r>
          </w:p>
        </w:tc>
      </w:tr>
    </w:tbl>
    <w:p w:rsidR="00000000" w:rsidDel="00000000" w:rsidP="00000000" w:rsidRDefault="00000000" w:rsidRPr="00000000" w14:paraId="0000001B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B: TEST-SPECIFIC COLLECTION REQUIREMENTS</w:t>
      </w: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2"/>
        <w:gridCol w:w="1363"/>
        <w:gridCol w:w="786"/>
        <w:gridCol w:w="1486"/>
        <w:gridCol w:w="2120"/>
        <w:gridCol w:w="2373"/>
        <w:tblGridChange w:id="0">
          <w:tblGrid>
            <w:gridCol w:w="1952"/>
            <w:gridCol w:w="1363"/>
            <w:gridCol w:w="786"/>
            <w:gridCol w:w="1486"/>
            <w:gridCol w:w="2120"/>
            <w:gridCol w:w="23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Test / Analyte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Tube Type / Color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Min Vol (mL)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Known Interferences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Special Instructions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CBC / Diff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EDTA (Lavender)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3.0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72h @ 4°C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Clotting, EDTA-dependent agglutination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Mix 8–10×; reject clotted specimens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Basic Metabolic Panel (BMP)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SST (Gold/Red)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3.5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8h serum @ RT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Hemolysis (K⁺, LDH), lipemia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Allow 30 min clot time; centrifuge 10 min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Comprehensive Metabolic Panel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SST (Gold/Red)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5.0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8h serum @ RT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Hemolysis, bilirubin (ALT/AST)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Do not underfill; centrifuge promptly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Prothrombin Time / INR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Na Citrate (Blue)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2.7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4h @ RT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Citrate ratio critical (9:1 blood:citrate)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Fill EXACTLY to line; reject under-filled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Lipid Panel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SST (Gold/Red)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3.5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Stable frozen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Lipemia (self-interfering)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12–14h fast required; note if non-fasting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HbA1c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EDTA (Lavender)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3.0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7 days @ 4°C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Hemoglobinopathies, recent transfusion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Note recent transfusion on requisition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Thyroid (TSH/T3/T4)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SST (Gold/Red)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3.5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24h serum @ RT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Biotin supplementation (&gt;5mg/day)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Instruct patient to hold biotin 2 days prior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Blood Culture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Blood culture bottles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8–10 per bottle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See bottles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Contamination — strict asepsis required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Clean site 30s with chlorhexidine; allow dry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Urinalysis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Urine cup (plain)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12 mL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2h unrefrigerated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UTI bacteria overgrowth if delayed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Midstream clean catch; refrigerate if delayed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Urine Culture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Sterile urine cup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5 mL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24h refrigerated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Contamination if technique poor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Midstream clean catch; strict aseptic technique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Urine Protein 24h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24h urine jug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All urine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Refrigerate during collection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Incomplete collection = invalid result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Instruct on collection procedure; provide jug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Serum Protein Electrophoresis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SST (Gold/Red)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5.0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Stable @ -20°C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Hemolysis, prolonged storage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Spin within 60 min; aliquot for storage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Procalcitonin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SST or Li heparin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3.5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24h @ 4°C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Hemolysis, prolonged storage at RT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Process within 60 min if possible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Testosterone (Total)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SST (Gold/Red)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3.5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7 days @ 4°C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Hemolysis, biotin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AM collection preferred (diurnal variation)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Cortisol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SST (Gold/Red)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3.5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24h serum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Specimen timing critical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Record exact collection time; AM vs. PM matters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CSF Analysis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Sterile tubes (4 tubes)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1–2 per tube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Process STAT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Cell lysis if delayed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Number tubes in order collected; process &lt;1h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Body Fluid (Pleural/Peritoneal)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Sterile tubes + heparin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3–5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STAT processing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Clotting if not anticoagulated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Add heparin for cell count tube; culture ASAP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Lead (Blood Lead Level)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Special lead-free tube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3.0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30 days @ 4°C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Contamination from regular tubes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Use certified lead-free collection supplies only</w:t>
            </w:r>
          </w:p>
        </w:tc>
      </w:tr>
    </w:tbl>
    <w:p w:rsidR="00000000" w:rsidDel="00000000" w:rsidP="00000000" w:rsidRDefault="00000000" w:rsidRPr="00000000" w14:paraId="0000008F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C: TUBE TYPE QUICK REFERENCE</w:t>
      </w: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0"/>
        <w:gridCol w:w="1200"/>
        <w:gridCol w:w="1800"/>
        <w:gridCol w:w="2880"/>
        <w:gridCol w:w="3000"/>
        <w:tblGridChange w:id="0">
          <w:tblGrid>
            <w:gridCol w:w="1200"/>
            <w:gridCol w:w="1200"/>
            <w:gridCol w:w="1800"/>
            <w:gridCol w:w="2880"/>
            <w:gridCol w:w="3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Additive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Common 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Inversions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🔴 Red / Gold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SST Gel + Clot Activator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Chemistry, serology, immunology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5× inversions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Allow clot 30 min; centrifuge 1500g × 10 min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🟣 Lavender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EDTA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CBC, HbA1c, blood bank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8–10× inversions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Do not freeze; mix thoroughly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🔵 Blue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3.2% Sodium Citrate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Coagulation (PT, PTT, fibrinogen)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3–4× gentle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Fill EXACTLY to line (9:1 ratio critical)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🟢 Green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Lithium Heparin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Stat chemistry, ammonia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8–10× inversions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Process quickly; do not freeze heparinized plasma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⚫ Gray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Sodium Fluoride / Potassium Oxalate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Glucose, lactate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8–10× inversions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Fluoride preserves glucose; not for most chemistry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🟡 Yellow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ACD or SPS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Blood cultures, HLA, paternity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8–10× inversions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Keep at RT; do not refrigerate blood cultures</w:t>
            </w:r>
          </w:p>
        </w:tc>
      </w:tr>
    </w:tbl>
    <w:p w:rsidR="00000000" w:rsidDel="00000000" w:rsidP="00000000" w:rsidRDefault="00000000" w:rsidRPr="00000000" w14:paraId="000000B4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D: REVIEW &amp; APPROVAL</w:t>
      </w: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Technical Supervisor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Laboratory Director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Review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Name: ___________________ Date: 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Name: ___________________ Date: 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Name: ___________________ Date: ___________________</w:t>
            </w:r>
          </w:p>
        </w:tc>
      </w:tr>
    </w:tbl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jc w:val="right"/>
      <w:rPr/>
    </w:pPr>
    <w:r w:rsidDel="00000000" w:rsidR="00000000" w:rsidRPr="00000000">
      <w:rPr>
        <w:color w:val="888888"/>
        <w:sz w:val="16"/>
        <w:szCs w:val="16"/>
        <w:rtl w:val="0"/>
      </w:rPr>
      <w:t xml:space="preserve">SCG-F-001  |  Rev 1.0  |  Page </w:t>
    </w:r>
    <w:r w:rsidDel="00000000" w:rsidR="00000000" w:rsidRPr="00000000"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88888"/>
        <w:sz w:val="16"/>
        <w:szCs w:val="16"/>
        <w:rtl w:val="0"/>
      </w:rPr>
      <w:t xml:space="preserve">  |  © Lab2Doctors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shd w:fill="890620" w:val="clear"/>
      <w:spacing w:after="80" w:before="80" w:lineRule="auto"/>
      <w:ind w:left="120" w:firstLine="0"/>
      <w:rPr/>
    </w:pPr>
    <w:r w:rsidDel="00000000" w:rsidR="00000000" w:rsidRPr="00000000">
      <w:rPr>
        <w:b w:val="1"/>
        <w:bCs w:val="1"/>
        <w:color w:val="ffffff"/>
        <w:rtl w:val="0"/>
      </w:rPr>
      <w:t xml:space="preserve">Lab2Doctors  |  Specimen Collection Guide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N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rong1" w:customStyle="1">
    <w:name w:val="Strong1"/>
    <w:qFormat w:val="1"/>
    <w:rPr>
      <w:b w:val="1"/>
      <w:bCs w:val="1"/>
    </w:rPr>
  </w:style>
  <w:style w:type="paragraph" w:styleId="ListParagraph">
    <w:name w:val="List Paragraph"/>
    <w:qFormat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FootnoteText">
    <w:name w:val="footnote text"/>
    <w:link w:val="FootnoteTextChar"/>
    <w:uiPriority w:val="99"/>
    <w:semiHidden w:val="1"/>
    <w:unhideWhenUsed w:val="1"/>
  </w:style>
  <w:style w:type="character" w:styleId="FootnoteTextChar" w:customStyle="1">
    <w:name w:val="Footnote Text Char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QDCXgio82Jb2/BRr4zryViVgGQ==">CgMxLjAaHQoBMBIYChYIB0ISEhBBcmlhbCBVbmljb2RlIE1TOAByITFJN1dIb0RzRFRwVzBxMmNiY3diM3hEMFFMZ1JIUTNaMw==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2026-03-12T08:18:00Z</dcterms:created>
  <dc:creator>Un-named</dc:creator>
</cp:coreProperties>
</file>