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543"/>
        <w:gridCol w:w="2587"/>
        <w:tblGridChange w:id="0">
          <w:tblGrid>
            <w:gridCol w:w="1950"/>
            <w:gridCol w:w="5543"/>
            <w:gridCol w:w="25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INTERNAL AUDIT CHECKLIST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Laboratory Compliance &amp; Quality Systems Audit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Audit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AUD-______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Auditor: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Dept Audited: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AUDIT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Audit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Scope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Auditee (Supervisor)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Scheduled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☐ Comprehensive ☐ Focused ☐ Follow-Up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AUDIT CHECKLIST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1740"/>
        <w:gridCol w:w="3945"/>
        <w:gridCol w:w="1425"/>
        <w:gridCol w:w="1290"/>
        <w:gridCol w:w="1185"/>
        <w:tblGridChange w:id="0">
          <w:tblGrid>
            <w:gridCol w:w="495"/>
            <w:gridCol w:w="1740"/>
            <w:gridCol w:w="3945"/>
            <w:gridCol w:w="1425"/>
            <w:gridCol w:w="1290"/>
            <w:gridCol w:w="11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Audit Item / Criterion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Reg. Reference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Finding 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Pre-Analytical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Specimen collection SOPs are current and accessible to staff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CLIA §493.1231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Pre-Analytical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Patient ID verification procedure is followed consistently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CAP GEN.40490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Pre-Analytical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Specimen labeling requirements are defined and enforced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CLIA §493.1232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Pre-Analytical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Specimen rejection criteria are documented and applied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CAP ANP.11620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Pre-Analytical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Chain of custody procedures are followed for forensic/legal specimens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State regs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QC is performed per laboratory policy (frequency, levels)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CLIA §493.1256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Westgard or equivalent QC rules are applied and documented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CLIA §493.1256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Instrument maintenance logs are current and complete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CLIA §493.1254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Calibration verification is performed per required intervals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CLIA §493.1255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Reagent lot changes are documented with QC bridging performed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CAP CHM.12500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Reference intervals are verified for patient population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CLIA §493.1253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Delta check criteria are defined and applied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CAP COM.04200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Post-Analytical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Critical values list is current and notification procedure followed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CLIA §493.1291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Post-Analytical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Turnaround time goals are defined and monitored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CAP COM.04050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Post-Analytical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Result reporting SOPs include reflex testing algorithms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CLIA §493.1291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Post-Analytical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Amended report procedures are documented and followed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CLIA §493.1291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Personnel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All staff have current, documented competency assessments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CLIA §493.1451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Personnel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Training records are complete and up to date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CLIA §493.1452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Personnel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Personnel files contain required credentials and licenses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CLIA §493.1405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Documents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All SOPs are current, approved, and accessible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CLIA §493.1231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Documents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Document control log reflects current revision status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CAP GEN.20375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Documents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  <w:t xml:space="preserve">Obsolete documents are removed from active use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CAP GEN.20375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PT/EQC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Proficiency testing is enrolled and results are reviewed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CLIA §493.801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PT/EQC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PT failures have documented investigations and CAPAs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CLIA §493.855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CAPA/NCR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Open CAPAs are within target completion dates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CLIA §493.1239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CAPA/NCR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NCRs are tracked and closed with appropriate documentation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CAP QM.09010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OSHA required training is current for all staff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OSHA 29 CFR 1910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Biohazard waste disposal procedures are followed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OSHA/State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Safety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Chemical hygiene plan is current and accessible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OSHA 29 CFR 1910.1450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IT/LIS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LIS access control and audit logs are maintained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HIPAA §164.312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☐ Yes  ☐ No  ☐ N/A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bottom w:color="890620" w:space="1" w:sz="6" w:val="single"/>
        </w:pBdr>
        <w:spacing w:after="100" w:before="240" w:lineRule="auto"/>
        <w:rPr>
          <w:b w:val="1"/>
          <w:bCs w:val="1"/>
          <w:color w:val="89062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FINDINGS SUMMARY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"/>
        <w:gridCol w:w="4189"/>
        <w:gridCol w:w="2470"/>
        <w:gridCol w:w="2458"/>
        <w:tblGridChange w:id="0">
          <w:tblGrid>
            <w:gridCol w:w="963"/>
            <w:gridCol w:w="4189"/>
            <w:gridCol w:w="2470"/>
            <w:gridCol w:w="24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Finding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Description of Finding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Classification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CAPA # Assigned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F-1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☐ Major  ☐ Minor  ☐ Opportunity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F-2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☐ Major  ☐ Minor  ☐ Opportunity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F-3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☐ Major  ☐ Minor  ☐ Opportunity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  <w:t xml:space="preserve">F-4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  <w:t xml:space="preserve">☐ Major  ☐ Minor  ☐ Opportunity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F-5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  <w:t xml:space="preserve">☐ Major  ☐ Minor  ☐ Opportunity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AUDIT SUMMARY &amp; SIGN-OFF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1260"/>
        <w:gridCol w:w="1260"/>
        <w:gridCol w:w="1260"/>
        <w:gridCol w:w="1260"/>
        <w:gridCol w:w="2520"/>
        <w:tblGridChange w:id="0">
          <w:tblGrid>
            <w:gridCol w:w="2520"/>
            <w:gridCol w:w="1260"/>
            <w:gridCol w:w="1260"/>
            <w:gridCol w:w="1260"/>
            <w:gridCol w:w="126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Total Items Reviewed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Compliant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Non-Compliant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 Findings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Overall Rating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 ☐ Marginal  ☐ Unsatisfactory</w:t>
            </w:r>
          </w:p>
        </w:tc>
      </w:tr>
    </w:tbl>
    <w:p w:rsidR="00000000" w:rsidDel="00000000" w:rsidP="00000000" w:rsidRDefault="00000000" w:rsidRPr="00000000" w14:paraId="000000FC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Lead Auditor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Auditee Acknowledgment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Quality Manager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AUD-F-001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Internal Audit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5Tzk9+p8zBR6Wpbih4T68oAIrA==">CgMxLjA4AHIhMVI4aDdaN1d3R3pNUVFVRFFHQUFpXzdneXYxOFllWVdl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2026-03-11T12:28:00Z</dcterms:created>
  <dc:creator>Un-named</dc:creator>
</cp:coreProperties>
</file>